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25F14CB" w:rsidR="00E25C6B" w:rsidRPr="00CB488B" w:rsidRDefault="00D075D1" w:rsidP="002C0255">
      <w:pPr>
        <w:spacing w:after="0" w:line="360" w:lineRule="auto"/>
        <w:jc w:val="center"/>
        <w:rPr>
          <w:rFonts w:ascii="Verdana" w:hAnsi="Verdana" w:cs="Times New Roman"/>
          <w:b/>
          <w:bCs/>
          <w:sz w:val="24"/>
          <w:szCs w:val="24"/>
          <w:lang w:val="lt-LT"/>
        </w:rPr>
      </w:pPr>
      <w:r w:rsidRPr="00CB488B">
        <w:rPr>
          <w:rFonts w:ascii="Verdana" w:hAnsi="Verdana" w:cs="Times New Roman"/>
          <w:b/>
          <w:bCs/>
          <w:sz w:val="24"/>
          <w:szCs w:val="24"/>
          <w:lang w:val="lt-LT"/>
        </w:rPr>
        <w:t>PASLAUGŲ</w:t>
      </w:r>
      <w:r w:rsidR="00CB488B" w:rsidRPr="00CB488B">
        <w:rPr>
          <w:rFonts w:ascii="Verdana" w:hAnsi="Verdana" w:cs="Times New Roman"/>
          <w:b/>
          <w:bCs/>
          <w:sz w:val="24"/>
          <w:szCs w:val="24"/>
          <w:lang w:val="lt-LT"/>
        </w:rPr>
        <w:t xml:space="preserve"> TEIKIMO</w:t>
      </w:r>
      <w:r w:rsidR="00097FB4" w:rsidRPr="00CB488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5A3E7316" w14:textId="77777777" w:rsidR="002C0255" w:rsidRPr="00CB488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4A28F3C7"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CB488B" w:rsidRPr="00CB488B">
        <w:rPr>
          <w:rFonts w:ascii="Verdana" w:hAnsi="Verdana" w:cs="Times New Roman"/>
          <w:sz w:val="18"/>
          <w:szCs w:val="18"/>
          <w:lang w:val="lt-LT"/>
        </w:rPr>
        <w:t>Užsakovas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Pr="00CB488B">
        <w:rPr>
          <w:rFonts w:ascii="Verdana" w:hAnsi="Verdana" w:cs="Times New Roman"/>
          <w:sz w:val="18"/>
          <w:szCs w:val="18"/>
          <w:lang w:val="lt-LT"/>
        </w:rPr>
        <w:t>V</w:t>
      </w:r>
      <w:r w:rsidR="00CB488B" w:rsidRPr="00CB488B">
        <w:rPr>
          <w:rFonts w:ascii="Verdana" w:hAnsi="Verdana" w:cs="Times New Roman"/>
          <w:sz w:val="18"/>
          <w:szCs w:val="18"/>
          <w:lang w:val="lt-LT"/>
        </w:rPr>
        <w:t>ykdytojas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097FB4" w:rsidRPr="00CB488B">
        <w:rPr>
          <w:rFonts w:ascii="Verdana" w:hAnsi="Verdana" w:cs="Times New Roman"/>
          <w:sz w:val="18"/>
          <w:szCs w:val="18"/>
          <w:lang w:val="lt-LT"/>
        </w:rPr>
        <w:t xml:space="preserve"> sudarėme šią </w:t>
      </w:r>
      <w:r w:rsidRPr="00CB488B">
        <w:rPr>
          <w:rFonts w:ascii="Verdana" w:hAnsi="Verdana" w:cs="Times New Roman"/>
          <w:sz w:val="18"/>
          <w:szCs w:val="18"/>
          <w:lang w:val="lt-LT"/>
        </w:rPr>
        <w:t>paslaugų</w:t>
      </w:r>
      <w:r w:rsidR="00CB488B" w:rsidRPr="00CB488B">
        <w:rPr>
          <w:rFonts w:ascii="Verdana" w:hAnsi="Verdana" w:cs="Times New Roman"/>
          <w:sz w:val="18"/>
          <w:szCs w:val="18"/>
          <w:lang w:val="lt-LT"/>
        </w:rPr>
        <w:t xml:space="preserve"> teikimo</w:t>
      </w:r>
      <w:r w:rsidR="00D54B9C"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sutartį (toliau – „Sutartis“):</w:t>
      </w:r>
    </w:p>
    <w:p w14:paraId="5867B285" w14:textId="77777777" w:rsidR="00CB488B" w:rsidRPr="00CB488B" w:rsidRDefault="00A5293C" w:rsidP="00CB488B">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CB488B">
        <w:rPr>
          <w:rFonts w:ascii="Verdana" w:hAnsi="Verdana"/>
          <w:bCs/>
          <w:sz w:val="18"/>
          <w:szCs w:val="18"/>
          <w:lang w:val="lt-LT"/>
        </w:rPr>
        <w:t>SUTARTIES OBJEKTAS</w:t>
      </w:r>
    </w:p>
    <w:p w14:paraId="225E5C93"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Šia Sutartimi Vykdytojas įsipareigoja suteikti Užsakovui </w:t>
      </w:r>
      <w:r w:rsidRPr="00CB488B">
        <w:rPr>
          <w:rFonts w:ascii="Verdana" w:hAnsi="Verdana" w:cs="Verdana"/>
          <w:b/>
          <w:bCs/>
          <w:sz w:val="18"/>
          <w:szCs w:val="18"/>
          <w:lang w:val="lt-LT"/>
        </w:rPr>
        <w:t>[paslaugų apibūdinimas]</w:t>
      </w:r>
      <w:r w:rsidRPr="00CB488B">
        <w:rPr>
          <w:rFonts w:ascii="Verdana" w:hAnsi="Verdana" w:cs="Verdana"/>
          <w:sz w:val="18"/>
          <w:szCs w:val="18"/>
          <w:lang w:val="lt-LT"/>
        </w:rPr>
        <w:t xml:space="preserve"> paslaugas, o Užsakovas įsipareigoja šias paslaugas priimti ir jas apmokėti. </w:t>
      </w:r>
    </w:p>
    <w:p w14:paraId="5E7ABA69"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Vykdytojas, teikdamas paslaugas, įsipareigoja veikti sąžiningai, laikydamasis nusistovėjusios praktikos, kad tai labiausiai atitiktų Užsakovo interesus. </w:t>
      </w:r>
    </w:p>
    <w:p w14:paraId="0B0675B7" w14:textId="77777777" w:rsidR="00CB488B" w:rsidRPr="00CB488B" w:rsidRDefault="00CB488B" w:rsidP="00CB488B">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garantuoja teikiamų paslaugų kokybės atitikimą Užsakovo pareikštiems reikalavimams, įprastinei verslo praktikai ir LR įstatymų reikalavimams.</w:t>
      </w:r>
    </w:p>
    <w:p w14:paraId="513DDBF0" w14:textId="5C0D50EF"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PASLAUGŲ KAINA IR ATSISKAITYMŲ TVARKA</w:t>
      </w:r>
    </w:p>
    <w:p w14:paraId="541BFA5A" w14:textId="59FC880A"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Užsakovo mokama kaina už suteiktas paslaugas yra</w:t>
      </w:r>
      <w:r>
        <w:rPr>
          <w:rFonts w:ascii="Verdana" w:hAnsi="Verdana" w:cs="Verdana"/>
          <w:sz w:val="18"/>
          <w:szCs w:val="18"/>
          <w:lang w:val="lt-LT"/>
        </w:rPr>
        <w:t xml:space="preserve"> </w:t>
      </w:r>
      <w:r>
        <w:rPr>
          <w:rFonts w:ascii="Verdana" w:hAnsi="Verdana" w:cs="Verdana"/>
          <w:b/>
          <w:bCs/>
          <w:sz w:val="18"/>
          <w:szCs w:val="18"/>
          <w:lang w:val="lt-LT"/>
        </w:rPr>
        <w:t xml:space="preserve">[suma skaičiais] </w:t>
      </w:r>
      <w:r>
        <w:rPr>
          <w:rFonts w:ascii="Verdana" w:hAnsi="Verdana" w:cs="Verdana"/>
          <w:sz w:val="18"/>
          <w:szCs w:val="18"/>
          <w:lang w:val="lt-LT"/>
        </w:rPr>
        <w:t>(</w:t>
      </w:r>
      <w:r>
        <w:rPr>
          <w:rFonts w:ascii="Verdana" w:hAnsi="Verdana" w:cs="Verdana"/>
          <w:b/>
          <w:bCs/>
          <w:sz w:val="18"/>
          <w:szCs w:val="18"/>
          <w:lang w:val="lt-LT"/>
        </w:rPr>
        <w:t>[suma žodžiais]</w:t>
      </w:r>
      <w:r>
        <w:rPr>
          <w:rFonts w:ascii="Verdana" w:hAnsi="Verdana" w:cs="Verdana"/>
          <w:sz w:val="18"/>
          <w:szCs w:val="18"/>
          <w:lang w:val="lt-LT"/>
        </w:rPr>
        <w:t>)</w:t>
      </w:r>
      <w:r w:rsidR="006A72AA">
        <w:rPr>
          <w:rFonts w:ascii="Verdana" w:hAnsi="Verdana" w:cs="Verdana"/>
          <w:sz w:val="18"/>
          <w:szCs w:val="18"/>
          <w:lang w:val="lt-LT"/>
        </w:rPr>
        <w:t xml:space="preserve"> Eur.</w:t>
      </w:r>
    </w:p>
    <w:p w14:paraId="63FC6F55"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Šalys patvirtina, kad į 2.1. punkte nurodytą kainą yra įskaičiuotas GPM, kuris turi būti Užsakovo sumokėtas Valstybinei Mokesčių Inspekcijai įstatymų nustatyta tvarka. </w:t>
      </w:r>
    </w:p>
    <w:p w14:paraId="001DC280" w14:textId="189748BE"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 xml:space="preserve">Už suteiktas paslaugas atsiskaitoma iki </w:t>
      </w:r>
      <w:r w:rsidR="006A72AA">
        <w:rPr>
          <w:rFonts w:ascii="Verdana" w:hAnsi="Verdana" w:cs="Verdana"/>
          <w:b/>
          <w:bCs/>
          <w:sz w:val="18"/>
          <w:szCs w:val="18"/>
          <w:lang w:val="lt-LT"/>
        </w:rPr>
        <w:t>[data]</w:t>
      </w:r>
      <w:r w:rsidR="006A72AA">
        <w:rPr>
          <w:rFonts w:ascii="Verdana" w:hAnsi="Verdana" w:cs="Verdana"/>
          <w:sz w:val="18"/>
          <w:szCs w:val="18"/>
          <w:lang w:val="lt-LT"/>
        </w:rPr>
        <w:t>.</w:t>
      </w:r>
    </w:p>
    <w:p w14:paraId="23769529" w14:textId="018AB7E3"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ŠALIŲ TEISĖS IR PAREIGOS</w:t>
      </w:r>
    </w:p>
    <w:p w14:paraId="2C33099E"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įsipareigoja tinkamai ir laiku ir kokybiškai teikti Sutarties 1.1 punkte numatytas paslaugas, pagal iš anksto su Užsakovu suderintus reikalavimus.</w:t>
      </w:r>
    </w:p>
    <w:p w14:paraId="61341D92"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privalo visapusiškai bendradarbiauti su Užsakovu siekiant, kad paslaugos būtų suteiktos kokybiškai ir atitiktų Užsakovo interesus.</w:t>
      </w:r>
    </w:p>
    <w:p w14:paraId="124C9DAB"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Vykdytojas privalo savo sąskaita pašalinti visus teikiamų ir/ar suteiktų paslaugų atlikimo trūkumus per trumpiausią įmanomą protingą terminą.</w:t>
      </w:r>
    </w:p>
    <w:p w14:paraId="5D0B1E44"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Užsakovas įsipareigoja priimti Vykdytojo suteiktas paslaugas ir jas apmokėti.</w:t>
      </w:r>
    </w:p>
    <w:p w14:paraId="1EB7491C" w14:textId="672CCC96"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ŠALIŲ ATSAKOMYBĖ</w:t>
      </w:r>
    </w:p>
    <w:p w14:paraId="064B6F87"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Jeigu Užsakovas nesumoka Vykdytojui už suteiktas paslaugas, jis moka 0,02 % dydžio delspinigius nuo laiku nesumokėtos sumos už kiekvieną pradelstą dieną.</w:t>
      </w:r>
    </w:p>
    <w:p w14:paraId="6BDA215E"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Tuo atveju, jei Vykdytojas netinkamai vykdo savo pareigas pagal šią Sutartį, Vykdytojas privalo atlyginti Užsakovui materialinę žalą, atsiradusią dėl netinkamo Vykdytojo sutartinių įsipareigojimų vykdymo.</w:t>
      </w:r>
    </w:p>
    <w:p w14:paraId="58506BA4" w14:textId="7A26E2D6" w:rsidR="00CB488B" w:rsidRPr="00CB488B" w:rsidRDefault="00CB488B" w:rsidP="006A72AA">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CB488B">
        <w:rPr>
          <w:rFonts w:ascii="Verdana" w:hAnsi="Verdana" w:cs="Verdana-Bold"/>
          <w:sz w:val="18"/>
          <w:szCs w:val="18"/>
          <w:lang w:val="lt-LT"/>
        </w:rPr>
        <w:t>BAIGIAMOSIOS NUOSTATOS</w:t>
      </w:r>
    </w:p>
    <w:p w14:paraId="6EAC3693"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Ši Sutartis įsigalioja nuo jos pasirašymo momento ir galioja iki Šalys įvykdys visus su ja susijusius įsipareigojimus.</w:t>
      </w:r>
    </w:p>
    <w:p w14:paraId="488D9DD7"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Visi šios Sutarties sąlygų pakeitimai ir papildymai galioja tik tuo atveju, jei jie yra įforminami raštu ir pasirašyti abiejų Šalių. Sutarties priedai įsigalioja nuo jų pasirašymo, jei pačiuose susitarimuose nenurodyta vėlesnė įsigaliojimo data.</w:t>
      </w:r>
    </w:p>
    <w:p w14:paraId="55004E58"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Visi ginčai, kilę iš šios Sutarties sprendžiami derybų keliu. Šalims nesusitarus geruoju, ginčas gali būti perduotas nagrinėti teismui Lietuvos Respublikos įstatymų nustatyta tvarka.</w:t>
      </w:r>
    </w:p>
    <w:p w14:paraId="58113C0C" w14:textId="77777777"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lastRenderedPageBreak/>
        <w:t>Šalys atleidžiamos nuo įsipareigojimų vykdymo pagal šią Sutartį, jei jų įvykdymas yra neįmanomas dėl nenugalimos jėgos aplinkybių.</w:t>
      </w:r>
    </w:p>
    <w:p w14:paraId="37AC8126" w14:textId="239CF935" w:rsidR="00CB488B" w:rsidRPr="00CB488B" w:rsidRDefault="00CB488B" w:rsidP="00CB488B">
      <w:pPr>
        <w:pStyle w:val="ListParagraph"/>
        <w:numPr>
          <w:ilvl w:val="1"/>
          <w:numId w:val="5"/>
        </w:numPr>
        <w:spacing w:after="0" w:line="276" w:lineRule="auto"/>
        <w:contextualSpacing w:val="0"/>
        <w:jc w:val="both"/>
        <w:rPr>
          <w:rFonts w:ascii="Verdana" w:hAnsi="Verdana"/>
          <w:bCs/>
          <w:color w:val="000000"/>
          <w:sz w:val="18"/>
          <w:szCs w:val="18"/>
          <w:lang w:val="lt-LT"/>
        </w:rPr>
      </w:pPr>
      <w:r w:rsidRPr="00CB488B">
        <w:rPr>
          <w:rFonts w:ascii="Verdana" w:hAnsi="Verdana" w:cs="Verdana"/>
          <w:sz w:val="18"/>
          <w:szCs w:val="18"/>
          <w:lang w:val="lt-LT"/>
        </w:rPr>
        <w:t>Sutartis pasirašyta dviem egzemplioriais lietuvių kalba, turinčiais vienodą juridinę galią.</w:t>
      </w:r>
    </w:p>
    <w:p w14:paraId="5C002937" w14:textId="21A01F61" w:rsidR="00FB6A2B" w:rsidRPr="00CB488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CB488B" w:rsidRDefault="00B815EF" w:rsidP="000B65FE">
      <w:pPr>
        <w:spacing w:after="0" w:line="276" w:lineRule="auto"/>
        <w:jc w:val="both"/>
        <w:rPr>
          <w:rFonts w:ascii="Verdana" w:hAnsi="Verdana" w:cs="Times New Roman"/>
          <w:sz w:val="18"/>
          <w:szCs w:val="18"/>
          <w:lang w:val="lt-LT"/>
        </w:rPr>
      </w:pPr>
      <w:r w:rsidRPr="00CB488B">
        <w:rPr>
          <w:rFonts w:ascii="Verdana" w:hAnsi="Verdana" w:cs="Times New Roman"/>
          <w:sz w:val="18"/>
          <w:szCs w:val="18"/>
          <w:lang w:val="lt-LT"/>
        </w:rPr>
        <w:t>Sutarties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583A6CEF" w:rsidR="000B65FE" w:rsidRPr="00CB488B" w:rsidRDefault="006A72AA" w:rsidP="000B65FE">
            <w:pPr>
              <w:jc w:val="both"/>
              <w:rPr>
                <w:rFonts w:ascii="Verdana" w:hAnsi="Verdana" w:cs="Times New Roman"/>
                <w:sz w:val="18"/>
                <w:szCs w:val="18"/>
                <w:lang w:val="lt-LT"/>
              </w:rPr>
            </w:pPr>
            <w:r>
              <w:rPr>
                <w:rFonts w:ascii="Verdana" w:hAnsi="Verdana" w:cs="Times New Roman"/>
                <w:sz w:val="18"/>
                <w:szCs w:val="18"/>
                <w:lang w:val="lt-LT"/>
              </w:rPr>
              <w:t>Vykdytojas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59730AD8" w:rsidR="000B65FE" w:rsidRPr="00CB488B" w:rsidRDefault="006A72AA" w:rsidP="000B65FE">
            <w:pPr>
              <w:jc w:val="both"/>
              <w:rPr>
                <w:rFonts w:ascii="Verdana" w:hAnsi="Verdana" w:cs="Times New Roman"/>
                <w:sz w:val="18"/>
                <w:szCs w:val="18"/>
                <w:lang w:val="lt-LT"/>
              </w:rPr>
            </w:pPr>
            <w:r>
              <w:rPr>
                <w:rFonts w:ascii="Verdana" w:hAnsi="Verdana" w:cs="Times New Roman"/>
                <w:sz w:val="18"/>
                <w:szCs w:val="18"/>
                <w:lang w:val="lt-LT"/>
              </w:rPr>
              <w:t>Užsakovas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5FF9BC6C" w14:textId="77777777" w:rsidR="000B65FE" w:rsidRPr="00CB488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864750">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CB488B" w:rsidRDefault="00B815EF" w:rsidP="006D2810">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D751" w14:textId="77777777" w:rsidR="00E960C4" w:rsidRDefault="00E960C4" w:rsidP="00E11072">
      <w:pPr>
        <w:spacing w:after="0" w:line="240" w:lineRule="auto"/>
      </w:pPr>
      <w:r>
        <w:separator/>
      </w:r>
    </w:p>
  </w:endnote>
  <w:endnote w:type="continuationSeparator" w:id="0">
    <w:p w14:paraId="3AAC91CD" w14:textId="77777777" w:rsidR="00E960C4" w:rsidRDefault="00E960C4"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5" w:usb1="00000000" w:usb2="00000000" w:usb3="00000000" w:csb0="00000002"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0E986A6" w14:textId="77777777" w:rsidR="00864750" w:rsidRPr="00E43A61" w:rsidRDefault="00864750" w:rsidP="00864750">
            <w:pPr>
              <w:pStyle w:val="Footer"/>
              <w:jc w:val="center"/>
              <w:rPr>
                <w:rFonts w:ascii="Verdana" w:hAnsi="Verdana"/>
                <w:sz w:val="16"/>
                <w:szCs w:val="16"/>
              </w:rPr>
            </w:pPr>
          </w:p>
          <w:tbl>
            <w:tblPr>
              <w:tblStyle w:val="TableGrid2"/>
              <w:tblW w:w="52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0"/>
              <w:gridCol w:w="2837"/>
            </w:tblGrid>
            <w:tr w:rsidR="00864750" w:rsidRPr="00864750" w14:paraId="5892A917" w14:textId="77777777" w:rsidTr="00864750">
              <w:trPr>
                <w:trHeight w:val="600"/>
              </w:trPr>
              <w:tc>
                <w:tcPr>
                  <w:tcW w:w="1689" w:type="pct"/>
                </w:tcPr>
                <w:p w14:paraId="59DF76E7"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UAB „buhalterės.lt“</w:t>
                  </w:r>
                </w:p>
                <w:p w14:paraId="6CE16BA2"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Įmonės kodas: 302546905</w:t>
                  </w:r>
                </w:p>
                <w:p w14:paraId="1EEB1F63"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PVM kodas: LT100005776419</w:t>
                  </w:r>
                </w:p>
                <w:p w14:paraId="3D1FE46B" w14:textId="77777777" w:rsidR="00864750" w:rsidRPr="00864750" w:rsidRDefault="00864750" w:rsidP="00864750">
                  <w:pPr>
                    <w:rPr>
                      <w:rFonts w:ascii="Sailec-Bold" w:eastAsia="Calibri" w:hAnsi="Sailec-Bold" w:cs="Times New Roman"/>
                      <w:sz w:val="16"/>
                      <w:szCs w:val="16"/>
                      <w:lang w:val="lt-LT"/>
                    </w:rPr>
                  </w:pPr>
                </w:p>
              </w:tc>
              <w:tc>
                <w:tcPr>
                  <w:tcW w:w="1959" w:type="pct"/>
                </w:tcPr>
                <w:p w14:paraId="0B8AB358"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Biuro: +370 653 33330</w:t>
                  </w:r>
                </w:p>
                <w:p w14:paraId="630EDB9B"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Konstitucijos pr. 7, Vilnius</w:t>
                  </w:r>
                </w:p>
                <w:p w14:paraId="4C0BC2B1"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Verslo centras „Europa“, 12 aukštas,</w:t>
                  </w:r>
                </w:p>
                <w:p w14:paraId="7A38E407"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LT-09308</w:t>
                  </w:r>
                </w:p>
                <w:p w14:paraId="7390D7AD" w14:textId="77777777" w:rsidR="00864750" w:rsidRPr="00864750" w:rsidRDefault="00864750" w:rsidP="00864750">
                  <w:pPr>
                    <w:rPr>
                      <w:rFonts w:ascii="Sailec-Bold" w:eastAsia="Calibri" w:hAnsi="Sailec-Bold" w:cs="Times New Roman"/>
                      <w:sz w:val="16"/>
                      <w:szCs w:val="16"/>
                      <w:lang w:val="lt-LT"/>
                    </w:rPr>
                  </w:pPr>
                </w:p>
              </w:tc>
              <w:tc>
                <w:tcPr>
                  <w:tcW w:w="1352" w:type="pct"/>
                </w:tcPr>
                <w:p w14:paraId="16AF00DC"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www.buhalteres.lt</w:t>
                  </w:r>
                </w:p>
                <w:p w14:paraId="52C0B8E2"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info@buhalteres.lt</w:t>
                  </w:r>
                </w:p>
                <w:p w14:paraId="4681A273" w14:textId="77777777" w:rsidR="00864750" w:rsidRPr="00864750" w:rsidRDefault="00864750" w:rsidP="00864750">
                  <w:pPr>
                    <w:rPr>
                      <w:rFonts w:ascii="Sailec-Bold" w:eastAsia="Calibri" w:hAnsi="Sailec-Bold" w:cs="Times New Roman"/>
                      <w:sz w:val="16"/>
                      <w:szCs w:val="16"/>
                      <w:lang w:val="lt-LT"/>
                    </w:rPr>
                  </w:pPr>
                  <w:r w:rsidRPr="00864750">
                    <w:rPr>
                      <w:rFonts w:ascii="Sailec-Bold" w:eastAsia="Calibri" w:hAnsi="Sailec-Bold" w:cs="Times New Roman"/>
                      <w:sz w:val="16"/>
                      <w:szCs w:val="16"/>
                      <w:lang w:val="lt-LT"/>
                    </w:rPr>
                    <w:t>A.s.: LT53 3500 0100 0156 4853</w:t>
                  </w:r>
                </w:p>
                <w:p w14:paraId="7641E247" w14:textId="77777777" w:rsidR="00864750" w:rsidRPr="00864750" w:rsidRDefault="00864750" w:rsidP="00864750">
                  <w:pPr>
                    <w:rPr>
                      <w:rFonts w:ascii="Sailec-Bold" w:eastAsia="Calibri" w:hAnsi="Sailec-Bold" w:cs="Times New Roman"/>
                      <w:sz w:val="16"/>
                      <w:szCs w:val="16"/>
                      <w:lang w:val="lt-LT"/>
                    </w:rPr>
                  </w:pPr>
                </w:p>
              </w:tc>
            </w:tr>
          </w:tbl>
          <w:p w14:paraId="4DAE94E8" w14:textId="447112C2" w:rsidR="005D6F87" w:rsidRPr="00864750" w:rsidRDefault="00E43A61" w:rsidP="00864750">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75E2" w14:textId="77777777" w:rsidR="00E960C4" w:rsidRDefault="00E960C4" w:rsidP="00E11072">
      <w:pPr>
        <w:spacing w:after="0" w:line="240" w:lineRule="auto"/>
      </w:pPr>
      <w:bookmarkStart w:id="0" w:name="_Hlk127974761"/>
      <w:bookmarkEnd w:id="0"/>
      <w:r>
        <w:separator/>
      </w:r>
    </w:p>
  </w:footnote>
  <w:footnote w:type="continuationSeparator" w:id="0">
    <w:p w14:paraId="26E575C8" w14:textId="77777777" w:rsidR="00E960C4" w:rsidRDefault="00E960C4"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864750" w:rsidRPr="00864750" w14:paraId="1985FC40" w14:textId="77777777" w:rsidTr="00864750">
      <w:trPr>
        <w:trHeight w:val="227"/>
      </w:trPr>
      <w:tc>
        <w:tcPr>
          <w:tcW w:w="2478" w:type="pct"/>
          <w:tcBorders>
            <w:top w:val="nil"/>
            <w:left w:val="nil"/>
            <w:bottom w:val="nil"/>
            <w:right w:val="nil"/>
          </w:tcBorders>
          <w:hideMark/>
        </w:tcPr>
        <w:p w14:paraId="6567E63B" w14:textId="77777777" w:rsidR="00864750" w:rsidRPr="00864750" w:rsidRDefault="00864750" w:rsidP="00864750">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864750">
            <w:rPr>
              <w:rFonts w:ascii="Calibri" w:eastAsia="Calibri" w:hAnsi="Calibri" w:cs="Times New Roman"/>
              <w:noProof/>
            </w:rPr>
            <w:drawing>
              <wp:inline distT="0" distB="0" distL="0" distR="0" wp14:anchorId="442AD05B" wp14:editId="39881A3C">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5DF84BEF" w14:textId="77777777" w:rsidR="00864750" w:rsidRPr="00864750" w:rsidRDefault="00864750" w:rsidP="00864750">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864750">
            <w:rPr>
              <w:rFonts w:ascii="Sailec-Medium" w:eastAsia="Times New Roman" w:hAnsi="Sailec-Medium" w:cs="Times New Roman"/>
              <w:bCs/>
              <w:sz w:val="16"/>
              <w:szCs w:val="16"/>
              <w:lang w:val="lt-LT"/>
            </w:rPr>
            <w:ptab w:relativeTo="margin" w:alignment="left" w:leader="none"/>
          </w:r>
          <w:r w:rsidRPr="00864750">
            <w:rPr>
              <w:rFonts w:ascii="Sailec-Medium" w:eastAsia="Times New Roman" w:hAnsi="Sailec-Medium" w:cs="Times New Roman"/>
              <w:bCs/>
              <w:sz w:val="16"/>
              <w:szCs w:val="16"/>
              <w:lang w:val="lt-LT"/>
            </w:rPr>
            <w:t>UAB buhalterės.lt nuosavybė. Išorinio naudojimo</w:t>
          </w:r>
        </w:p>
      </w:tc>
    </w:tr>
  </w:tbl>
  <w:p w14:paraId="207A1BCB" w14:textId="77777777" w:rsidR="00864750" w:rsidRDefault="0086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646F"/>
    <w:rsid w:val="00022085"/>
    <w:rsid w:val="00097FB4"/>
    <w:rsid w:val="000B65FE"/>
    <w:rsid w:val="0023758C"/>
    <w:rsid w:val="002C0255"/>
    <w:rsid w:val="0032760C"/>
    <w:rsid w:val="003B19C4"/>
    <w:rsid w:val="00442AAF"/>
    <w:rsid w:val="004B567C"/>
    <w:rsid w:val="00531E9C"/>
    <w:rsid w:val="005D6F87"/>
    <w:rsid w:val="006833B1"/>
    <w:rsid w:val="006A72AA"/>
    <w:rsid w:val="006D2810"/>
    <w:rsid w:val="006D545F"/>
    <w:rsid w:val="00720B28"/>
    <w:rsid w:val="00724073"/>
    <w:rsid w:val="00864750"/>
    <w:rsid w:val="00A5293C"/>
    <w:rsid w:val="00AC1835"/>
    <w:rsid w:val="00B815EF"/>
    <w:rsid w:val="00B85F76"/>
    <w:rsid w:val="00C30B76"/>
    <w:rsid w:val="00CB488B"/>
    <w:rsid w:val="00CB68B6"/>
    <w:rsid w:val="00D075D1"/>
    <w:rsid w:val="00D54B9C"/>
    <w:rsid w:val="00E11072"/>
    <w:rsid w:val="00E25C6B"/>
    <w:rsid w:val="00E43A61"/>
    <w:rsid w:val="00E633B5"/>
    <w:rsid w:val="00E66661"/>
    <w:rsid w:val="00E960C4"/>
    <w:rsid w:val="00E9766F"/>
    <w:rsid w:val="00EE55EB"/>
    <w:rsid w:val="00F569BD"/>
    <w:rsid w:val="00F60990"/>
    <w:rsid w:val="00F84B29"/>
    <w:rsid w:val="00FB6A2B"/>
    <w:rsid w:val="00FC6C18"/>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table" w:customStyle="1" w:styleId="TableGrid1">
    <w:name w:val="Table Grid1"/>
    <w:basedOn w:val="TableNormal"/>
    <w:next w:val="TableGrid"/>
    <w:uiPriority w:val="39"/>
    <w:rsid w:val="008647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47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2025-08-07T09:40:00Z</dcterms:created>
  <dcterms:modified xsi:type="dcterms:W3CDTF">2025-08-07T09:40:00Z</dcterms:modified>
</cp:coreProperties>
</file>