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8411DD" w:rsidRPr="00C74550" w14:paraId="598ADDC2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DD87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3775BA0" w14:textId="77777777" w:rsidR="008411DD" w:rsidRPr="00C74550" w:rsidRDefault="008411DD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2DAA7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8411DD" w:rsidRPr="00C74550" w14:paraId="2DE2A873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4B18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2C6728" w14:textId="0B999C4F" w:rsidR="008411DD" w:rsidRPr="008411DD" w:rsidRDefault="008411DD" w:rsidP="008411DD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pavadinimas</w:t>
            </w: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E49D0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96CC8FD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2EE5895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vadovo pareigų pavadinimas</w:t>
            </w: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Default="00C74550">
      <w:pPr>
        <w:rPr>
          <w:rFonts w:ascii="Verdana" w:hAnsi="Verdana"/>
          <w:lang w:val="lt-LT"/>
        </w:rPr>
      </w:pPr>
    </w:p>
    <w:p w14:paraId="1480DC03" w14:textId="1CE2C8D9" w:rsidR="00C74550" w:rsidRDefault="00C74550">
      <w:pPr>
        <w:rPr>
          <w:rFonts w:ascii="Verdana" w:hAnsi="Verdana"/>
          <w:lang w:val="lt-LT"/>
        </w:rPr>
      </w:pPr>
    </w:p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3FCDB3D3" w14:textId="1FA95ED2" w:rsidR="00C74550" w:rsidRPr="003D7305" w:rsidRDefault="00540D56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>ĮSAKYMAS</w:t>
      </w:r>
    </w:p>
    <w:p w14:paraId="51787D78" w14:textId="533F8C8F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 xml:space="preserve">DĖL </w:t>
      </w:r>
      <w:r w:rsidR="00540D56">
        <w:rPr>
          <w:rFonts w:ascii="Verdana" w:hAnsi="Verdana" w:cs="Times New Roman"/>
          <w:b/>
          <w:sz w:val="24"/>
          <w:lang w:val="lt-LT"/>
        </w:rPr>
        <w:t>ILGALAIKIO TURTO VERTĖS NUSTATYMO</w:t>
      </w:r>
    </w:p>
    <w:tbl>
      <w:tblPr>
        <w:tblStyle w:val="TableGrid"/>
        <w:tblW w:w="99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1429"/>
        <w:gridCol w:w="862"/>
        <w:gridCol w:w="1429"/>
        <w:gridCol w:w="3129"/>
      </w:tblGrid>
      <w:tr w:rsidR="00540D56" w:rsidRPr="00540D56" w14:paraId="78D2F0CB" w14:textId="77777777" w:rsidTr="003A5B24">
        <w:tc>
          <w:tcPr>
            <w:tcW w:w="3124" w:type="dxa"/>
          </w:tcPr>
          <w:p w14:paraId="7B2D30DB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0FB84044" w14:textId="61D2E5D2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862" w:type="dxa"/>
          </w:tcPr>
          <w:p w14:paraId="2A862A2D" w14:textId="599D3134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 w:rsidRPr="00540D56">
              <w:rPr>
                <w:rFonts w:ascii="Verdana" w:hAnsi="Verdana"/>
                <w:sz w:val="20"/>
                <w:szCs w:val="20"/>
                <w:lang w:val="lt-LT"/>
              </w:rPr>
              <w:t>Nr.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780CC00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1C30023F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3557F553" w14:textId="77777777" w:rsidTr="003A5B24">
        <w:tc>
          <w:tcPr>
            <w:tcW w:w="3124" w:type="dxa"/>
          </w:tcPr>
          <w:p w14:paraId="4F6C87A4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19C8E00" w14:textId="7D617014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62" w:type="dxa"/>
            <w:tcBorders>
              <w:bottom w:val="single" w:sz="4" w:space="0" w:color="FFFFFF" w:themeColor="background1"/>
            </w:tcBorders>
          </w:tcPr>
          <w:p w14:paraId="3E004D4C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CA2386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665A681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20C7BF4E" w14:textId="77777777" w:rsidTr="003A5B24">
        <w:tc>
          <w:tcPr>
            <w:tcW w:w="3124" w:type="dxa"/>
          </w:tcPr>
          <w:p w14:paraId="54C98BF8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bottom w:val="single" w:sz="4" w:space="0" w:color="auto"/>
            </w:tcBorders>
          </w:tcPr>
          <w:p w14:paraId="258F05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7ACCE0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06013A47" w14:textId="77777777" w:rsidTr="003A5B24">
        <w:tc>
          <w:tcPr>
            <w:tcW w:w="3124" w:type="dxa"/>
          </w:tcPr>
          <w:p w14:paraId="654BFDB2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</w:tcPr>
          <w:p w14:paraId="671B4131" w14:textId="3A2D8E47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129" w:type="dxa"/>
          </w:tcPr>
          <w:p w14:paraId="1BA0E1C0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</w:tbl>
    <w:p w14:paraId="0F5F2437" w14:textId="68BE6A98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C0C42D3" w14:textId="2D6C914A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09CE880F" w14:textId="716FADA3" w:rsidR="003A5B24" w:rsidRPr="003A5B24" w:rsidRDefault="003A5B24" w:rsidP="003A5B24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  <w:r w:rsidRPr="00025F6A">
        <w:rPr>
          <w:rFonts w:ascii="Verdana" w:hAnsi="Verdana"/>
          <w:sz w:val="20"/>
          <w:szCs w:val="20"/>
          <w:lang w:val="lt-LT"/>
        </w:rPr>
        <w:t xml:space="preserve">Į s a k a u </w:t>
      </w:r>
      <w:r w:rsidR="00EE4E20">
        <w:rPr>
          <w:rFonts w:ascii="Verdana" w:hAnsi="Verdana"/>
          <w:sz w:val="20"/>
          <w:szCs w:val="20"/>
          <w:lang w:val="lt-LT"/>
        </w:rPr>
        <w:t xml:space="preserve"> </w:t>
      </w:r>
      <w:r w:rsidRPr="00025F6A">
        <w:rPr>
          <w:rFonts w:ascii="Verdana" w:hAnsi="Verdana"/>
          <w:sz w:val="20"/>
          <w:szCs w:val="20"/>
          <w:lang w:val="lt-LT"/>
        </w:rPr>
        <w:t>ilgalaikiu materialiuoju turtu įmonėje laikyti tokias materialines vertybes, kurios savo požymiais atitinka ilgalaikio materialiojo turto oficialų apibūdinimą ir kurių įsigijimo savikaina ne mažesnė kaip ________ Eur. Skaičiuojant materialaus ilgalaikio turto nusidėvėjimą taikyti tiesiogiai proporcingą metodą. Ilgalaikis materialusis turtas nudėvimas pagal LR Pelno mokesčio įstatyme numatytus normatyvus, nustatoma ilgalaikio materialaus turto likvidacinė vertė – 1 Eur.</w:t>
      </w:r>
    </w:p>
    <w:p w14:paraId="4B57BC13" w14:textId="64654644" w:rsidR="003A5B24" w:rsidRPr="003A5B24" w:rsidRDefault="003A5B24" w:rsidP="003A5B24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  <w:r w:rsidRPr="00025F6A">
        <w:rPr>
          <w:rFonts w:ascii="Verdana" w:hAnsi="Verdana"/>
          <w:sz w:val="20"/>
          <w:szCs w:val="20"/>
          <w:lang w:val="lt-LT"/>
        </w:rPr>
        <w:t>Į s a k a u</w:t>
      </w:r>
      <w:r w:rsidR="00EE4E20">
        <w:rPr>
          <w:rFonts w:ascii="Verdana" w:hAnsi="Verdana"/>
          <w:sz w:val="20"/>
          <w:szCs w:val="20"/>
          <w:lang w:val="lt-LT"/>
        </w:rPr>
        <w:t xml:space="preserve"> </w:t>
      </w:r>
      <w:r w:rsidRPr="00025F6A">
        <w:rPr>
          <w:rFonts w:ascii="Verdana" w:hAnsi="Verdana"/>
          <w:sz w:val="20"/>
          <w:szCs w:val="20"/>
          <w:lang w:val="lt-LT"/>
        </w:rPr>
        <w:t xml:space="preserve"> ilgalaikiu nematerialiuoju turtu įmonėje laikyti tokias vertybes, kurios savo požymiais atitinka ilgalaikio nematerialiojo turto oficialų apibūdinimą ir kurių įsigijimo savikaina ne mažesnė kaip</w:t>
      </w:r>
      <w:r w:rsidR="00025F6A">
        <w:rPr>
          <w:rFonts w:ascii="Verdana" w:hAnsi="Verdana"/>
          <w:sz w:val="20"/>
          <w:szCs w:val="20"/>
          <w:lang w:val="lt-LT"/>
        </w:rPr>
        <w:t xml:space="preserve"> </w:t>
      </w:r>
      <w:r w:rsidRPr="00025F6A">
        <w:rPr>
          <w:rFonts w:ascii="Verdana" w:hAnsi="Verdana"/>
          <w:sz w:val="20"/>
          <w:szCs w:val="20"/>
          <w:lang w:val="lt-LT"/>
        </w:rPr>
        <w:t>_________</w:t>
      </w:r>
      <w:r w:rsidR="00025F6A">
        <w:rPr>
          <w:rFonts w:ascii="Verdana" w:hAnsi="Verdana"/>
          <w:sz w:val="20"/>
          <w:szCs w:val="20"/>
          <w:lang w:val="lt-LT"/>
        </w:rPr>
        <w:t xml:space="preserve"> </w:t>
      </w:r>
      <w:r w:rsidRPr="00025F6A">
        <w:rPr>
          <w:rFonts w:ascii="Verdana" w:hAnsi="Verdana"/>
          <w:sz w:val="20"/>
          <w:szCs w:val="20"/>
          <w:lang w:val="lt-LT"/>
        </w:rPr>
        <w:t>Eur. Skaičiuojant nematerialaus ilgalaikio turto amortizaciją taikyti tiesiogiai proporcingą metodą. Ilgalaikis nematerialusis turtas amortizuojamas pagal LR Pelno mokesčio įstatyme numatytus normatyvus</w:t>
      </w:r>
      <w:r w:rsidR="00025F6A">
        <w:rPr>
          <w:rFonts w:ascii="Verdana" w:hAnsi="Verdana"/>
          <w:sz w:val="20"/>
          <w:szCs w:val="20"/>
          <w:lang w:val="lt-LT"/>
        </w:rPr>
        <w:t>.</w:t>
      </w:r>
    </w:p>
    <w:p w14:paraId="390E8871" w14:textId="336F5532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51243A20" w14:textId="75D6CB18" w:rsidR="00F472A0" w:rsidRDefault="00F472A0" w:rsidP="00C74550">
      <w:pPr>
        <w:jc w:val="center"/>
        <w:rPr>
          <w:rFonts w:ascii="Verdana" w:hAnsi="Verdana"/>
          <w:lang w:val="lt-LT"/>
        </w:rPr>
      </w:pPr>
    </w:p>
    <w:p w14:paraId="4C3A4005" w14:textId="71B6D3A9" w:rsidR="00F472A0" w:rsidRDefault="00F472A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56"/>
        <w:gridCol w:w="1992"/>
        <w:gridCol w:w="862"/>
        <w:gridCol w:w="3129"/>
      </w:tblGrid>
      <w:tr w:rsidR="00025F6A" w14:paraId="49613E13" w14:textId="77777777" w:rsidTr="00025F6A">
        <w:tc>
          <w:tcPr>
            <w:tcW w:w="3124" w:type="dxa"/>
            <w:tcBorders>
              <w:bottom w:val="single" w:sz="4" w:space="0" w:color="auto"/>
            </w:tcBorders>
          </w:tcPr>
          <w:p w14:paraId="673FEE7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56" w:type="dxa"/>
          </w:tcPr>
          <w:p w14:paraId="1AAC246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8FD1660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62" w:type="dxa"/>
          </w:tcPr>
          <w:p w14:paraId="005038FF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20A73321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025F6A" w:rsidRPr="00025F6A" w14:paraId="6F490C17" w14:textId="77777777" w:rsidTr="00025F6A">
        <w:tc>
          <w:tcPr>
            <w:tcW w:w="3124" w:type="dxa"/>
            <w:tcBorders>
              <w:top w:val="single" w:sz="4" w:space="0" w:color="auto"/>
            </w:tcBorders>
          </w:tcPr>
          <w:p w14:paraId="329732E6" w14:textId="61E91764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25F6A">
              <w:rPr>
                <w:rFonts w:ascii="Verdana" w:hAnsi="Verdana"/>
                <w:sz w:val="14"/>
                <w:szCs w:val="14"/>
                <w:lang w:val="lt-LT"/>
              </w:rPr>
              <w:t xml:space="preserve">(įmonės 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vadovo pareigų pavadinimas)</w:t>
            </w:r>
          </w:p>
        </w:tc>
        <w:tc>
          <w:tcPr>
            <w:tcW w:w="856" w:type="dxa"/>
          </w:tcPr>
          <w:p w14:paraId="6D886CC8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25C21C95" w14:textId="78774DE9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862" w:type="dxa"/>
          </w:tcPr>
          <w:p w14:paraId="22CF5793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075F54E8" w14:textId="0EE06E81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</w:tr>
    </w:tbl>
    <w:p w14:paraId="0DE2DE0D" w14:textId="77777777" w:rsidR="00F472A0" w:rsidRPr="00C74550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C74550" w:rsidSect="00F472A0">
      <w:headerReference w:type="default" r:id="rId7"/>
      <w:footerReference w:type="default" r:id="rId8"/>
      <w:pgSz w:w="12240" w:h="15840"/>
      <w:pgMar w:top="1276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5983A" w14:textId="77777777" w:rsidR="0011384D" w:rsidRDefault="0011384D" w:rsidP="00CE4D04">
      <w:pPr>
        <w:spacing w:after="0" w:line="240" w:lineRule="auto"/>
      </w:pPr>
      <w:r>
        <w:separator/>
      </w:r>
    </w:p>
  </w:endnote>
  <w:endnote w:type="continuationSeparator" w:id="0">
    <w:p w14:paraId="543748E2" w14:textId="77777777" w:rsidR="0011384D" w:rsidRDefault="0011384D" w:rsidP="00C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D3FD9" w14:textId="66B5635A" w:rsidR="00CE4D04" w:rsidRDefault="00CE4D04" w:rsidP="00041CF2">
    <w:pPr>
      <w:pStyle w:val="Footer"/>
    </w:pPr>
    <w:r>
      <w:rPr>
        <w:noProof/>
      </w:rPr>
      <w:drawing>
        <wp:inline distT="0" distB="0" distL="0" distR="0" wp14:anchorId="57B15088" wp14:editId="6508614E">
          <wp:extent cx="1317600" cy="270000"/>
          <wp:effectExtent l="0" t="0" r="0" b="0"/>
          <wp:docPr id="3" name="Grafinis element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nis elementas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2505B0" w14:textId="7D6E606E" w:rsidR="00041CF2" w:rsidRPr="00041CF2" w:rsidRDefault="00041CF2" w:rsidP="00041CF2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041CF2">
      <w:rPr>
        <w:rFonts w:ascii="Times New Roman" w:hAnsi="Times New Roman" w:cs="Times New Roman"/>
        <w:sz w:val="20"/>
        <w:szCs w:val="20"/>
      </w:rPr>
      <w:t xml:space="preserve">UAB </w:t>
    </w:r>
    <w:proofErr w:type="spellStart"/>
    <w:r w:rsidRPr="00041CF2">
      <w:rPr>
        <w:rFonts w:ascii="Times New Roman" w:hAnsi="Times New Roman" w:cs="Times New Roman"/>
        <w:sz w:val="20"/>
        <w:szCs w:val="20"/>
      </w:rPr>
      <w:t>buhalterės.lt</w:t>
    </w:r>
    <w:proofErr w:type="spellEnd"/>
    <w:r w:rsidRPr="00041CF2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41CF2">
      <w:rPr>
        <w:rFonts w:ascii="Times New Roman" w:hAnsi="Times New Roman" w:cs="Times New Roman"/>
        <w:sz w:val="20"/>
        <w:szCs w:val="20"/>
      </w:rPr>
      <w:t>nuosavybė</w:t>
    </w:r>
    <w:proofErr w:type="spellEnd"/>
    <w:r w:rsidRPr="00041CF2">
      <w:rPr>
        <w:rFonts w:ascii="Times New Roman" w:hAnsi="Times New Roman" w:cs="Times New Roman"/>
        <w:sz w:val="20"/>
        <w:szCs w:val="20"/>
      </w:rPr>
      <w:t xml:space="preserve">. </w:t>
    </w:r>
    <w:proofErr w:type="spellStart"/>
    <w:r w:rsidRPr="00041CF2">
      <w:rPr>
        <w:rFonts w:ascii="Times New Roman" w:hAnsi="Times New Roman" w:cs="Times New Roman"/>
        <w:sz w:val="20"/>
        <w:szCs w:val="20"/>
      </w:rPr>
      <w:t>Išorinio</w:t>
    </w:r>
    <w:proofErr w:type="spellEnd"/>
    <w:r w:rsidRPr="00041CF2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41CF2">
      <w:rPr>
        <w:rFonts w:ascii="Times New Roman" w:hAnsi="Times New Roman" w:cs="Times New Roman"/>
        <w:sz w:val="20"/>
        <w:szCs w:val="20"/>
      </w:rPr>
      <w:t>naudojimo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E04AC" w14:textId="77777777" w:rsidR="0011384D" w:rsidRDefault="0011384D" w:rsidP="00CE4D04">
      <w:pPr>
        <w:spacing w:after="0" w:line="240" w:lineRule="auto"/>
      </w:pPr>
      <w:r>
        <w:separator/>
      </w:r>
    </w:p>
  </w:footnote>
  <w:footnote w:type="continuationSeparator" w:id="0">
    <w:p w14:paraId="7C36FDF3" w14:textId="77777777" w:rsidR="0011384D" w:rsidRDefault="0011384D" w:rsidP="00C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0E819" w14:textId="680EE9C0" w:rsidR="00CE4D04" w:rsidRDefault="00CE4D04" w:rsidP="00CE4D0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25F6A"/>
    <w:rsid w:val="00041CF2"/>
    <w:rsid w:val="0011384D"/>
    <w:rsid w:val="003A5B24"/>
    <w:rsid w:val="00540D56"/>
    <w:rsid w:val="005570D6"/>
    <w:rsid w:val="00626EC0"/>
    <w:rsid w:val="0063426A"/>
    <w:rsid w:val="008411DD"/>
    <w:rsid w:val="00C74550"/>
    <w:rsid w:val="00CE4D04"/>
    <w:rsid w:val="00EE4E20"/>
    <w:rsid w:val="00F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04"/>
  </w:style>
  <w:style w:type="paragraph" w:styleId="Footer">
    <w:name w:val="footer"/>
    <w:basedOn w:val="Normal"/>
    <w:link w:val="Foot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735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Simona</cp:lastModifiedBy>
  <cp:revision>6</cp:revision>
  <dcterms:created xsi:type="dcterms:W3CDTF">2023-02-21T09:58:00Z</dcterms:created>
  <dcterms:modified xsi:type="dcterms:W3CDTF">2025-03-26T16:52:00Z</dcterms:modified>
</cp:coreProperties>
</file>